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hanging="9180" w:left="9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49530</wp:posOffset>
                </wp:positionV>
                <wp:extent cx="4572000" cy="173736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1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12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 Програми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підтримки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пожежно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-рятувальних та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аварійно-рятувальних підрозділів, які дислокуються на територі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ї Чернігівської області, на 2025 – 2027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(</w:t>
                            </w:r>
                            <w:bookmarkStart w:id="0" w:name="_Hlk217901435"/>
                            <w:r/>
                            <w:bookmarkStart w:id="1" w:name="_Hlk217901436"/>
                            <w:r/>
                            <w:bookmarkStart w:id="2" w:name="_Hlk217901437"/>
                            <w:r/>
                            <w:bookmarkStart w:id="3" w:name="_Hlk217901438"/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в редакції розпорядження начальника Чернігівської обласної військової адміністрації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від ___________________ 202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6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  <w:bookmarkEnd w:id="0"/>
                            <w:r/>
                            <w:bookmarkEnd w:id="1"/>
                            <w:r/>
                            <w:bookmarkEnd w:id="2"/>
                            <w:r/>
                            <w:bookmarkEnd w:id="3"/>
                            <w:r/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359.55pt;mso-position-horizontal:absolute;mso-position-vertical-relative:text;margin-top:3.90pt;mso-position-vertical:absolute;width:360.00pt;height:136.8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1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12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 Програми 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підтримки 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пожежно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-рятувальних та 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аварійно-рятувальних підрозділів, які дислокуються на територі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ї Чернігівської області, на 2025 – 2027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(</w:t>
                      </w:r>
                      <w:bookmarkStart w:id="0" w:name="_Hlk217901435"/>
                      <w:r/>
                      <w:bookmarkStart w:id="1" w:name="_Hlk217901436"/>
                      <w:r/>
                      <w:bookmarkStart w:id="2" w:name="_Hlk217901437"/>
                      <w:r/>
                      <w:bookmarkStart w:id="3" w:name="_Hlk217901438"/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в редакції розпорядження начальника Чернігівської обласної військової адміністрації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від ___________________ 202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6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  <w:bookmarkEnd w:id="0"/>
                      <w:r/>
                      <w:bookmarkEnd w:id="1"/>
                      <w:r/>
                      <w:bookmarkEnd w:id="2"/>
                      <w:r/>
                      <w:bookmarkEnd w:id="3"/>
                      <w:r/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пожежно</w:t>
      </w:r>
      <w:r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-рятувальних та </w:t>
      </w:r>
      <w:r>
        <w:rPr>
          <w:rFonts w:ascii="Times New Roman" w:hAnsi="Times New Roman"/>
          <w:sz w:val="28"/>
          <w:szCs w:val="28"/>
          <w:lang w:val="uk-UA"/>
        </w:rPr>
        <w:t xml:space="preserve">аварійно-рятувальних підрозділів, які дислокуються на т</w:t>
      </w:r>
      <w:r>
        <w:rPr>
          <w:rFonts w:ascii="Times New Roman" w:hAnsi="Times New Roman"/>
          <w:sz w:val="28"/>
          <w:szCs w:val="28"/>
          <w:lang w:val="uk-UA"/>
        </w:rPr>
        <w:t xml:space="preserve">ериторії Чернігівської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2025 – 2027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408"/>
        <w:gridCol w:w="2370"/>
        <w:gridCol w:w="2328"/>
        <w:gridCol w:w="2781"/>
        <w:gridCol w:w="2673"/>
      </w:tblGrid>
      <w:tr>
        <w:trPr>
          <w:jc w:val="center"/>
        </w:trPr>
        <w:tc>
          <w:tcPr>
            <w:tcBorders/>
            <w:tcW w:w="44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gridSpan w:val="4"/>
            <w:tcBorders/>
            <w:tcW w:w="103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витрат на виконання Програми,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млн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гривень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jc w:val="center"/>
          <w:trHeight w:val="485"/>
        </w:trPr>
        <w:tc>
          <w:tcPr>
            <w:tcBorders/>
            <w:tcW w:w="44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3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8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7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jc w:val="center"/>
          <w:trHeight w:val="783"/>
        </w:trPr>
        <w:tc>
          <w:tcPr>
            <w:tcBorders/>
            <w:tcW w:w="44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ресурсів, всього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29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23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28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27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11,0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jc w:val="center"/>
        </w:trPr>
        <w:tc>
          <w:tcPr>
            <w:tcBorders/>
            <w:tcW w:w="44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тому числі: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3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8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7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jc w:val="center"/>
          <w:trHeight w:val="739"/>
        </w:trPr>
        <w:tc>
          <w:tcPr>
            <w:tcBorders/>
            <w:tcW w:w="44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3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8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7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jc w:val="center"/>
        </w:trPr>
        <w:tc>
          <w:tcPr>
            <w:tcBorders/>
            <w:tcW w:w="44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місцеві бюджети (інша субвенція з місцевих бюджетів обласному бюджету)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3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8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7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tabs>
          <w:tab w:val="left" w:leader="none" w:pos="7367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Департаменту з питань цивільного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та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оборонної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 w:after="0" w:line="240" w:lineRule="auto"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>
        <w:rPr>
          <w:rFonts w:ascii="Times New Roman" w:hAnsi="Times New Roman"/>
          <w:sz w:val="28"/>
          <w:szCs w:val="28"/>
          <w:lang w:val="uk-UA"/>
        </w:rPr>
        <w:t xml:space="preserve"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>
        <w:rPr>
          <w:rFonts w:ascii="Times New Roman" w:hAnsi="Times New Roman"/>
          <w:sz w:val="28"/>
          <w:szCs w:val="28"/>
          <w:lang w:val="uk-UA"/>
        </w:rPr>
        <w:t xml:space="preserve">адміністрації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ТИЩЕНКО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49"/>
    <w:next w:val="64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49"/>
    <w:next w:val="64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49"/>
    <w:next w:val="64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49"/>
    <w:next w:val="64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49"/>
    <w:next w:val="64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49"/>
    <w:next w:val="64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49"/>
    <w:next w:val="64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49"/>
    <w:next w:val="64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51"/>
    <w:link w:val="6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5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5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5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5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5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5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5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49"/>
    <w:next w:val="64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5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49"/>
    <w:next w:val="64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5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49"/>
    <w:next w:val="64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5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4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49"/>
    <w:next w:val="64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5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4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5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4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51"/>
    <w:link w:val="175"/>
    <w:uiPriority w:val="99"/>
    <w:pPr>
      <w:pBdr/>
      <w:spacing/>
      <w:ind/>
    </w:pPr>
  </w:style>
  <w:style w:type="paragraph" w:styleId="177">
    <w:name w:val="Footer"/>
    <w:basedOn w:val="64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51"/>
    <w:link w:val="177"/>
    <w:uiPriority w:val="99"/>
    <w:pPr>
      <w:pBdr/>
      <w:spacing/>
      <w:ind/>
    </w:pPr>
  </w:style>
  <w:style w:type="paragraph" w:styleId="179">
    <w:name w:val="Caption"/>
    <w:basedOn w:val="649"/>
    <w:next w:val="6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4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5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5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4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5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5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49"/>
    <w:next w:val="649"/>
    <w:uiPriority w:val="99"/>
    <w:unhideWhenUsed/>
    <w:pPr>
      <w:pBdr/>
      <w:spacing w:after="0" w:afterAutospacing="0"/>
      <w:ind/>
    </w:pPr>
  </w:style>
  <w:style w:type="paragraph" w:styleId="649" w:default="1">
    <w:name w:val="Normal"/>
    <w:qFormat/>
    <w:pPr>
      <w:pBdr/>
      <w:spacing w:after="200" w:line="276" w:lineRule="auto"/>
      <w:ind/>
    </w:pPr>
    <w:rPr>
      <w:sz w:val="22"/>
      <w:szCs w:val="22"/>
      <w:lang w:val="ru-RU" w:eastAsia="en-US"/>
    </w:rPr>
  </w:style>
  <w:style w:type="paragraph" w:styleId="650">
    <w:name w:val="Heading 1"/>
    <w:basedOn w:val="649"/>
    <w:next w:val="649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character" w:styleId="651" w:default="1">
    <w:name w:val="Default Paragraph Font"/>
    <w:uiPriority w:val="1"/>
    <w:semiHidden/>
    <w:unhideWhenUsed/>
    <w:pPr>
      <w:pBdr/>
      <w:spacing/>
      <w:ind/>
    </w:pPr>
  </w:style>
  <w:style w:type="table" w:styleId="6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3" w:default="1">
    <w:name w:val="No List"/>
    <w:uiPriority w:val="99"/>
    <w:semiHidden/>
    <w:unhideWhenUsed/>
    <w:pPr>
      <w:pBdr/>
      <w:spacing/>
      <w:ind/>
    </w:pPr>
  </w:style>
  <w:style w:type="table" w:styleId="654">
    <w:name w:val="Table Grid"/>
    <w:basedOn w:val="652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5">
    <w:name w:val="Document Map"/>
    <w:basedOn w:val="649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656" w:customStyle="1">
    <w:name w:val="Знак"/>
    <w:basedOn w:val="649"/>
    <w:pPr>
      <w:pBdr/>
      <w:spacing w:after="0" w:line="240" w:lineRule="auto"/>
      <w:ind/>
    </w:pPr>
    <w:rPr>
      <w:rFonts w:ascii="Verdana" w:hAnsi="Verdana" w:eastAsia="Times New Roman" w:cs="Verdana"/>
      <w:sz w:val="20"/>
      <w:szCs w:val="20"/>
      <w:lang w:val="en-US"/>
    </w:rPr>
  </w:style>
  <w:style w:type="paragraph" w:styleId="657" w:customStyle="1">
    <w:name w:val="Знак Знак Знак Знак"/>
    <w:basedOn w:val="649"/>
    <w:pPr>
      <w:pBdr/>
      <w:spacing w:after="0" w:line="240" w:lineRule="auto"/>
      <w:ind/>
    </w:pPr>
    <w:rPr>
      <w:rFonts w:ascii="Verdana" w:hAnsi="Verdana" w:eastAsia="Times New Roman" w:cs="Verdana"/>
      <w:sz w:val="20"/>
      <w:szCs w:val="20"/>
      <w:lang w:val="en-US"/>
    </w:rPr>
  </w:style>
  <w:style w:type="paragraph" w:styleId="658" w:customStyle="1">
    <w:name w:val="Знак Знак Знак Знак"/>
    <w:basedOn w:val="649"/>
    <w:pPr>
      <w:pBdr/>
      <w:spacing w:after="0" w:line="240" w:lineRule="auto"/>
      <w:ind/>
    </w:pPr>
    <w:rPr>
      <w:rFonts w:ascii="Verdana" w:hAnsi="Verdana" w:eastAsia="Times New Roman" w:cs="Verdana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Anonymous</cp:lastModifiedBy>
  <cp:revision>5</cp:revision>
  <dcterms:created xsi:type="dcterms:W3CDTF">2025-12-29T09:47:00Z</dcterms:created>
  <dcterms:modified xsi:type="dcterms:W3CDTF">2025-12-30T07:39:02Z</dcterms:modified>
</cp:coreProperties>
</file>